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48C" w:rsidRPr="00AC448C" w:rsidRDefault="00AC448C" w:rsidP="00AC448C">
      <w:pPr>
        <w:spacing w:after="0" w:line="240" w:lineRule="auto"/>
        <w:jc w:val="center"/>
        <w:rPr>
          <w:rFonts w:ascii="Times New Roman" w:eastAsia="Times New Roman" w:hAnsi="Times New Roman" w:cs="Times New Roman"/>
          <w:color w:val="000000"/>
          <w:sz w:val="27"/>
          <w:szCs w:val="27"/>
          <w:lang w:eastAsia="lt-LT"/>
        </w:rPr>
      </w:pPr>
      <w:r>
        <w:rPr>
          <w:rFonts w:ascii="Times New Roman" w:eastAsia="Times New Roman" w:hAnsi="Times New Roman" w:cs="Times New Roman"/>
          <w:caps/>
          <w:noProof/>
          <w:color w:val="000000"/>
          <w:sz w:val="27"/>
          <w:szCs w:val="27"/>
          <w:lang w:eastAsia="lt-LT"/>
        </w:rPr>
        <w:drawing>
          <wp:inline distT="0" distB="0" distL="0" distR="0">
            <wp:extent cx="349857" cy="400204"/>
            <wp:effectExtent l="0" t="0" r="0" b="0"/>
            <wp:docPr id="1" name="Picture 1" descr="https://e-seimas.lrs.lt/rs/legalact/TAD/b63962122fcb11e79f4996496b137f39/content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https://e-seimas.lrs.lt/rs/legalact/TAD/b63962122fcb11e79f4996496b137f39/content_files/image0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9985" cy="400350"/>
                    </a:xfrm>
                    <a:prstGeom prst="rect">
                      <a:avLst/>
                    </a:prstGeom>
                    <a:noFill/>
                    <a:ln>
                      <a:noFill/>
                    </a:ln>
                  </pic:spPr>
                </pic:pic>
              </a:graphicData>
            </a:graphic>
          </wp:inline>
        </w:drawing>
      </w:r>
    </w:p>
    <w:p w:rsidR="00AC448C" w:rsidRPr="00AC448C" w:rsidRDefault="00AC448C" w:rsidP="00AC448C">
      <w:pPr>
        <w:spacing w:after="0" w:line="240" w:lineRule="auto"/>
        <w:jc w:val="center"/>
        <w:rPr>
          <w:rFonts w:ascii="Times New Roman" w:eastAsia="Times New Roman" w:hAnsi="Times New Roman" w:cs="Times New Roman"/>
          <w:color w:val="000000"/>
          <w:sz w:val="27"/>
          <w:szCs w:val="27"/>
          <w:lang w:eastAsia="lt-LT"/>
        </w:rPr>
      </w:pPr>
      <w:r w:rsidRPr="00AC448C">
        <w:rPr>
          <w:rFonts w:ascii="Times New Roman" w:eastAsia="Times New Roman" w:hAnsi="Times New Roman" w:cs="Times New Roman"/>
          <w:caps/>
          <w:color w:val="000000"/>
          <w:sz w:val="12"/>
          <w:szCs w:val="12"/>
          <w:lang w:eastAsia="lt-LT"/>
        </w:rPr>
        <w:t> </w:t>
      </w:r>
    </w:p>
    <w:p w:rsidR="00AC448C" w:rsidRPr="00AC448C" w:rsidRDefault="00AC448C" w:rsidP="00AC448C">
      <w:pPr>
        <w:spacing w:after="0" w:line="240" w:lineRule="auto"/>
        <w:jc w:val="center"/>
        <w:rPr>
          <w:rFonts w:ascii="Times New Roman" w:eastAsia="Times New Roman" w:hAnsi="Times New Roman" w:cs="Times New Roman"/>
          <w:color w:val="000000"/>
          <w:sz w:val="24"/>
          <w:szCs w:val="24"/>
          <w:lang w:eastAsia="lt-LT"/>
        </w:rPr>
      </w:pPr>
      <w:r w:rsidRPr="00AC448C">
        <w:rPr>
          <w:rFonts w:ascii="Times New Roman" w:eastAsia="Times New Roman" w:hAnsi="Times New Roman" w:cs="Times New Roman"/>
          <w:b/>
          <w:bCs/>
          <w:caps/>
          <w:color w:val="000000"/>
          <w:sz w:val="24"/>
          <w:szCs w:val="24"/>
          <w:lang w:eastAsia="lt-LT"/>
        </w:rPr>
        <w:t>LIETUVOS RESPUBLIKOS</w:t>
      </w:r>
    </w:p>
    <w:p w:rsidR="00AC448C" w:rsidRPr="00AC448C" w:rsidRDefault="00AC448C" w:rsidP="00AC448C">
      <w:pPr>
        <w:spacing w:after="0" w:line="240" w:lineRule="auto"/>
        <w:jc w:val="center"/>
        <w:rPr>
          <w:rFonts w:ascii="Times New Roman" w:eastAsia="Times New Roman" w:hAnsi="Times New Roman" w:cs="Times New Roman"/>
          <w:color w:val="000000"/>
          <w:sz w:val="24"/>
          <w:szCs w:val="24"/>
          <w:lang w:eastAsia="lt-LT"/>
        </w:rPr>
      </w:pPr>
      <w:r w:rsidRPr="00AC448C">
        <w:rPr>
          <w:rFonts w:ascii="Times New Roman" w:eastAsia="Times New Roman" w:hAnsi="Times New Roman" w:cs="Times New Roman"/>
          <w:b/>
          <w:bCs/>
          <w:caps/>
          <w:color w:val="000000"/>
          <w:sz w:val="24"/>
          <w:szCs w:val="24"/>
          <w:lang w:eastAsia="lt-LT"/>
        </w:rPr>
        <w:t>VIEŠŲJŲ PIRKIMŲ ĮSTATYM</w:t>
      </w:r>
      <w:r>
        <w:rPr>
          <w:rFonts w:ascii="Times New Roman" w:eastAsia="Times New Roman" w:hAnsi="Times New Roman" w:cs="Times New Roman"/>
          <w:b/>
          <w:bCs/>
          <w:caps/>
          <w:color w:val="000000"/>
          <w:sz w:val="24"/>
          <w:szCs w:val="24"/>
          <w:lang w:eastAsia="lt-LT"/>
        </w:rPr>
        <w:t>AS</w:t>
      </w:r>
      <w:r w:rsidRPr="00AC448C">
        <w:rPr>
          <w:rFonts w:ascii="Times New Roman" w:eastAsia="Times New Roman" w:hAnsi="Times New Roman" w:cs="Times New Roman"/>
          <w:b/>
          <w:bCs/>
          <w:caps/>
          <w:color w:val="000000"/>
          <w:sz w:val="24"/>
          <w:szCs w:val="24"/>
          <w:lang w:eastAsia="lt-LT"/>
        </w:rPr>
        <w:t xml:space="preserve"> </w:t>
      </w:r>
    </w:p>
    <w:p w:rsidR="00AC448C" w:rsidRPr="00AC448C" w:rsidRDefault="00AC448C" w:rsidP="00AC448C">
      <w:pPr>
        <w:spacing w:after="0" w:line="240" w:lineRule="auto"/>
        <w:jc w:val="center"/>
        <w:rPr>
          <w:rFonts w:ascii="Times New Roman" w:eastAsia="Times New Roman" w:hAnsi="Times New Roman" w:cs="Times New Roman"/>
          <w:color w:val="000000"/>
          <w:sz w:val="24"/>
          <w:szCs w:val="24"/>
          <w:lang w:eastAsia="lt-LT"/>
        </w:rPr>
      </w:pPr>
      <w:r w:rsidRPr="00AC448C">
        <w:rPr>
          <w:rFonts w:ascii="Times New Roman" w:eastAsia="Times New Roman" w:hAnsi="Times New Roman" w:cs="Times New Roman"/>
          <w:b/>
          <w:bCs/>
          <w:caps/>
          <w:color w:val="000000"/>
          <w:sz w:val="24"/>
          <w:szCs w:val="24"/>
          <w:lang w:eastAsia="lt-LT"/>
        </w:rPr>
        <w:t> </w:t>
      </w:r>
    </w:p>
    <w:p w:rsidR="00AC448C" w:rsidRPr="00AC448C" w:rsidRDefault="00AC448C" w:rsidP="00AC448C">
      <w:pPr>
        <w:spacing w:after="0" w:line="240" w:lineRule="auto"/>
        <w:jc w:val="center"/>
        <w:rPr>
          <w:rFonts w:ascii="Times New Roman" w:eastAsia="Times New Roman" w:hAnsi="Times New Roman" w:cs="Times New Roman"/>
          <w:color w:val="000000"/>
          <w:sz w:val="24"/>
          <w:szCs w:val="24"/>
          <w:lang w:eastAsia="lt-LT"/>
        </w:rPr>
      </w:pPr>
      <w:r w:rsidRPr="00AC448C">
        <w:rPr>
          <w:rFonts w:ascii="Times New Roman" w:eastAsia="Times New Roman" w:hAnsi="Times New Roman" w:cs="Times New Roman"/>
          <w:color w:val="000000"/>
          <w:sz w:val="24"/>
          <w:szCs w:val="24"/>
          <w:lang w:eastAsia="lt-LT"/>
        </w:rPr>
        <w:t>2017 m. gegužės 2 d. Nr. XIII-327</w:t>
      </w:r>
    </w:p>
    <w:p w:rsidR="00AC448C" w:rsidRPr="00AC448C" w:rsidRDefault="00AC448C" w:rsidP="00AC448C">
      <w:pPr>
        <w:spacing w:after="0" w:line="240" w:lineRule="auto"/>
        <w:jc w:val="center"/>
        <w:rPr>
          <w:rFonts w:ascii="Times New Roman" w:eastAsia="Times New Roman" w:hAnsi="Times New Roman" w:cs="Times New Roman"/>
          <w:color w:val="000000"/>
          <w:sz w:val="24"/>
          <w:szCs w:val="24"/>
          <w:lang w:eastAsia="lt-LT"/>
        </w:rPr>
      </w:pPr>
      <w:r w:rsidRPr="00AC448C">
        <w:rPr>
          <w:rFonts w:ascii="Times New Roman" w:eastAsia="Times New Roman" w:hAnsi="Times New Roman" w:cs="Times New Roman"/>
          <w:color w:val="000000"/>
          <w:sz w:val="24"/>
          <w:szCs w:val="24"/>
          <w:lang w:eastAsia="lt-LT"/>
        </w:rPr>
        <w:t>Vilnius</w:t>
      </w:r>
    </w:p>
    <w:p w:rsidR="00AC448C" w:rsidRPr="00AC448C" w:rsidRDefault="00AC448C" w:rsidP="00AC448C">
      <w:pPr>
        <w:spacing w:after="0" w:line="240" w:lineRule="auto"/>
        <w:jc w:val="center"/>
        <w:rPr>
          <w:rFonts w:ascii="Times New Roman" w:eastAsia="Times New Roman" w:hAnsi="Times New Roman" w:cs="Times New Roman"/>
          <w:color w:val="000000"/>
          <w:sz w:val="27"/>
          <w:szCs w:val="27"/>
          <w:lang w:eastAsia="lt-LT"/>
        </w:rPr>
      </w:pPr>
      <w:r w:rsidRPr="00AC448C">
        <w:rPr>
          <w:rFonts w:ascii="Times New Roman" w:eastAsia="Times New Roman" w:hAnsi="Times New Roman" w:cs="Times New Roman"/>
          <w:color w:val="000000"/>
          <w:lang w:eastAsia="lt-LT"/>
        </w:rPr>
        <w:t> </w:t>
      </w:r>
    </w:p>
    <w:p w:rsidR="00AC448C" w:rsidRDefault="00AC448C" w:rsidP="00AC448C">
      <w:pPr>
        <w:spacing w:after="0" w:line="360" w:lineRule="atLeast"/>
        <w:ind w:firstLine="720"/>
        <w:jc w:val="both"/>
      </w:pPr>
      <w:r w:rsidRPr="00AC448C">
        <w:rPr>
          <w:rFonts w:ascii="Times New Roman" w:eastAsia="Times New Roman" w:hAnsi="Times New Roman" w:cs="Times New Roman"/>
          <w:color w:val="000000"/>
          <w:sz w:val="16"/>
          <w:szCs w:val="16"/>
          <w:lang w:eastAsia="lt-LT"/>
        </w:rPr>
        <w:t> </w:t>
      </w:r>
    </w:p>
    <w:p w:rsidR="00AC448C" w:rsidRPr="00AC448C" w:rsidRDefault="00AC448C" w:rsidP="00AC448C">
      <w:pPr>
        <w:spacing w:after="0" w:line="360" w:lineRule="atLeast"/>
        <w:ind w:firstLine="720"/>
        <w:rPr>
          <w:rFonts w:ascii="Times New Roman" w:eastAsia="Times New Roman" w:hAnsi="Times New Roman" w:cs="Times New Roman"/>
          <w:b/>
          <w:bCs/>
          <w:color w:val="000000"/>
          <w:sz w:val="24"/>
          <w:szCs w:val="24"/>
          <w:lang w:eastAsia="lt-LT"/>
        </w:rPr>
      </w:pPr>
      <w:r w:rsidRPr="00AC448C">
        <w:rPr>
          <w:rFonts w:ascii="Times New Roman" w:eastAsia="Times New Roman" w:hAnsi="Times New Roman" w:cs="Times New Roman"/>
          <w:b/>
          <w:bCs/>
          <w:color w:val="000000"/>
          <w:sz w:val="24"/>
          <w:szCs w:val="24"/>
          <w:lang w:eastAsia="lt-LT"/>
        </w:rPr>
        <w:t>86 straipsnis. Pirkimo sutarties ar preliminariosios sutarties sudarymas</w:t>
      </w:r>
    </w:p>
    <w:p w:rsidR="00AC448C" w:rsidRPr="00AC448C" w:rsidRDefault="00AC448C" w:rsidP="00AC448C">
      <w:pPr>
        <w:spacing w:after="0" w:line="360" w:lineRule="atLeast"/>
        <w:ind w:firstLine="720"/>
        <w:rPr>
          <w:rFonts w:ascii="Times New Roman" w:eastAsia="Times New Roman" w:hAnsi="Times New Roman" w:cs="Times New Roman"/>
          <w:color w:val="000000"/>
          <w:sz w:val="24"/>
          <w:szCs w:val="24"/>
          <w:lang w:eastAsia="lt-LT"/>
        </w:rPr>
      </w:pPr>
      <w:r w:rsidRPr="00AC448C">
        <w:rPr>
          <w:rFonts w:ascii="Times New Roman" w:eastAsia="Times New Roman" w:hAnsi="Times New Roman" w:cs="Times New Roman"/>
          <w:b/>
          <w:bCs/>
          <w:color w:val="000000"/>
          <w:sz w:val="24"/>
          <w:szCs w:val="24"/>
          <w:lang w:eastAsia="lt-LT"/>
        </w:rPr>
        <w:t>5 dalis:</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0" w:name="part_4d184dc5e9f64b6f8e34621eaa48d27a"/>
      <w:bookmarkStart w:id="1" w:name="part_92df46755f094a8dbf1ab1ef8a04b46b"/>
      <w:bookmarkEnd w:id="0"/>
      <w:bookmarkEnd w:id="1"/>
      <w:r w:rsidRPr="00AC448C">
        <w:rPr>
          <w:rFonts w:ascii="Times New Roman" w:eastAsia="Times New Roman" w:hAnsi="Times New Roman" w:cs="Times New Roman"/>
          <w:color w:val="000000"/>
          <w:sz w:val="24"/>
          <w:szCs w:val="24"/>
          <w:lang w:eastAsia="lt-LT"/>
        </w:rPr>
        <w:t>Sudaromoje pirkimo sutartyje turi būti nustatomas ne ilgesnis kaip 3 metų nuo sutarties sudarymo prekių tiekimo, paslaugų teikimo, darbų atlikimo laikotarpis, išskyrus pagrįstus atvejus, kai atsižvelgiant į perkamo objekto ypatybes ir siekiant racionalaus lėšų panaudojimo būtina pailginti šį laikotarpį. Tokie atvejai gali apimti pirkimo sutartis dėl:</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2" w:name="part_5864950378d9474795b3e15eed19adb4"/>
      <w:bookmarkEnd w:id="2"/>
      <w:r w:rsidRPr="00AC448C">
        <w:rPr>
          <w:rFonts w:ascii="Times New Roman" w:eastAsia="Times New Roman" w:hAnsi="Times New Roman" w:cs="Times New Roman"/>
          <w:color w:val="000000"/>
          <w:sz w:val="24"/>
          <w:szCs w:val="24"/>
          <w:lang w:eastAsia="lt-LT"/>
        </w:rPr>
        <w:t>1) elektros energijos ir šilumos, dujų, karšto ir šalto vandens, nuotekų ir atliekų tvarkymo paslaugų;</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3" w:name="part_04aa2730811a4dd0b8bd6c2862a6debd"/>
      <w:bookmarkEnd w:id="3"/>
      <w:r w:rsidRPr="00AC448C">
        <w:rPr>
          <w:rFonts w:ascii="Times New Roman" w:eastAsia="Times New Roman" w:hAnsi="Times New Roman" w:cs="Times New Roman"/>
          <w:color w:val="000000"/>
          <w:sz w:val="24"/>
          <w:szCs w:val="24"/>
          <w:lang w:eastAsia="lt-LT"/>
        </w:rPr>
        <w:t>2) bankų ir kitų finansinių institucijų teikiamų finansinių paslaugų;</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4" w:name="part_ff25439e87f8465fbe84907553126fe4"/>
      <w:bookmarkEnd w:id="4"/>
      <w:r w:rsidRPr="00AC448C">
        <w:rPr>
          <w:rFonts w:ascii="Times New Roman" w:eastAsia="Times New Roman" w:hAnsi="Times New Roman" w:cs="Times New Roman"/>
          <w:color w:val="000000"/>
          <w:sz w:val="24"/>
          <w:szCs w:val="24"/>
          <w:lang w:eastAsia="lt-LT"/>
        </w:rPr>
        <w:t>3) prekių nuomos, finansinės nuomos (lizingo), pirkimo išsimokėtinai;</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5" w:name="part_2b59fbcfa8b84e4e8564917f1d52ab64"/>
      <w:bookmarkEnd w:id="5"/>
      <w:r w:rsidRPr="00AC448C">
        <w:rPr>
          <w:rFonts w:ascii="Times New Roman" w:eastAsia="Times New Roman" w:hAnsi="Times New Roman" w:cs="Times New Roman"/>
          <w:color w:val="000000"/>
          <w:sz w:val="24"/>
          <w:szCs w:val="24"/>
          <w:lang w:eastAsia="lt-LT"/>
        </w:rPr>
        <w:t>4) aptarnavimo, remonto ar priežiūros paslaugų, kai įsigyjamo objekto pirkimo sutartis apima ir šias paslaugas;</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6" w:name="part_96e9ccbe8911435784d748d03af93a5b"/>
      <w:bookmarkEnd w:id="6"/>
      <w:r w:rsidRPr="00AC448C">
        <w:rPr>
          <w:rFonts w:ascii="Times New Roman" w:eastAsia="Times New Roman" w:hAnsi="Times New Roman" w:cs="Times New Roman"/>
          <w:color w:val="000000"/>
          <w:sz w:val="24"/>
          <w:szCs w:val="24"/>
          <w:lang w:eastAsia="lt-LT"/>
        </w:rPr>
        <w:t>5) dokumentų saugojimo paslaugų;</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7" w:name="part_7f32139915ea45ab894a8ef3395b6e73"/>
      <w:bookmarkEnd w:id="7"/>
      <w:r w:rsidRPr="00AC448C">
        <w:rPr>
          <w:rFonts w:ascii="Times New Roman" w:eastAsia="Times New Roman" w:hAnsi="Times New Roman" w:cs="Times New Roman"/>
          <w:color w:val="000000"/>
          <w:sz w:val="24"/>
          <w:szCs w:val="24"/>
          <w:lang w:eastAsia="lt-LT"/>
        </w:rPr>
        <w:t>6) darbų ar statinio statybos techninės priežiūros paslaugų;</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8" w:name="part_4f529c7883e34740a98e5197bb82b9b3"/>
      <w:bookmarkEnd w:id="8"/>
      <w:r w:rsidRPr="00AC448C">
        <w:rPr>
          <w:rFonts w:ascii="Times New Roman" w:eastAsia="Times New Roman" w:hAnsi="Times New Roman" w:cs="Times New Roman"/>
          <w:color w:val="000000"/>
          <w:sz w:val="24"/>
          <w:szCs w:val="24"/>
          <w:lang w:eastAsia="lt-LT"/>
        </w:rPr>
        <w:t>7) statinio projekto vykdymo priežiūros paslaugų arba</w:t>
      </w:r>
      <w:r w:rsidRPr="00AC448C">
        <w:rPr>
          <w:rFonts w:ascii="Times New Roman" w:eastAsia="Times New Roman" w:hAnsi="Times New Roman" w:cs="Times New Roman"/>
          <w:i/>
          <w:iCs/>
          <w:color w:val="000000"/>
          <w:sz w:val="24"/>
          <w:szCs w:val="24"/>
          <w:lang w:eastAsia="lt-LT"/>
        </w:rPr>
        <w:t> </w:t>
      </w:r>
      <w:r w:rsidRPr="00AC448C">
        <w:rPr>
          <w:rFonts w:ascii="Times New Roman" w:eastAsia="Times New Roman" w:hAnsi="Times New Roman" w:cs="Times New Roman"/>
          <w:color w:val="000000"/>
          <w:sz w:val="24"/>
          <w:szCs w:val="24"/>
          <w:lang w:eastAsia="lt-LT"/>
        </w:rPr>
        <w:t>statinio projektavimo ir statinio projekto vykdymo priežiūros paslaugų, kai šios paslaugos perkamos kartu;</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9" w:name="part_deb37970902a47bbb47b4a006b3ee309"/>
      <w:bookmarkEnd w:id="9"/>
      <w:r w:rsidRPr="00AC448C">
        <w:rPr>
          <w:rFonts w:ascii="Times New Roman" w:eastAsia="Times New Roman" w:hAnsi="Times New Roman" w:cs="Times New Roman"/>
          <w:color w:val="000000"/>
          <w:sz w:val="24"/>
          <w:szCs w:val="24"/>
          <w:lang w:eastAsia="lt-LT"/>
        </w:rPr>
        <w:t>8) investicijų projektų įgyvendinimo;</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10" w:name="part_b15b385b7970497dad239e3499b86149"/>
      <w:bookmarkEnd w:id="10"/>
      <w:r w:rsidRPr="00AC448C">
        <w:rPr>
          <w:rFonts w:ascii="Times New Roman" w:eastAsia="Times New Roman" w:hAnsi="Times New Roman" w:cs="Times New Roman"/>
          <w:color w:val="000000"/>
          <w:sz w:val="24"/>
          <w:szCs w:val="24"/>
          <w:lang w:eastAsia="lt-LT"/>
        </w:rPr>
        <w:t>9) finansinių priemonių ar fondų fondo, kaip šios sąvokos apibrėžtos 2013 m. gruodžio 17 d. Europos Parlamento ir Tarybos reglamento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 straipsnio 11 ir 27 punktuose, finansų inžinerijos priemonių, įskaitant kartu teikiamas subsidijas, valdymo ir (arba) įgyvendinimo paslaugų;</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11" w:name="part_ee856f8b66104639876bc41c59e5dbb2"/>
      <w:bookmarkEnd w:id="11"/>
      <w:r w:rsidRPr="00AC448C">
        <w:rPr>
          <w:rFonts w:ascii="Times New Roman" w:eastAsia="Times New Roman" w:hAnsi="Times New Roman" w:cs="Times New Roman"/>
          <w:color w:val="000000"/>
          <w:sz w:val="24"/>
          <w:szCs w:val="24"/>
          <w:lang w:eastAsia="lt-LT"/>
        </w:rPr>
        <w:t>10) miško sodmenų išauginimo paslaugų;</w:t>
      </w:r>
    </w:p>
    <w:p w:rsidR="00AC448C" w:rsidRPr="00AC448C" w:rsidRDefault="00AC448C" w:rsidP="00AC448C">
      <w:pPr>
        <w:spacing w:after="0" w:line="360" w:lineRule="atLeast"/>
        <w:ind w:firstLine="720"/>
        <w:jc w:val="both"/>
        <w:rPr>
          <w:rFonts w:ascii="Times New Roman" w:eastAsia="Times New Roman" w:hAnsi="Times New Roman" w:cs="Times New Roman"/>
          <w:color w:val="000000"/>
          <w:sz w:val="24"/>
          <w:szCs w:val="24"/>
          <w:lang w:eastAsia="lt-LT"/>
        </w:rPr>
      </w:pPr>
      <w:bookmarkStart w:id="12" w:name="part_096304fee34742a19f71f700053c28e1"/>
      <w:bookmarkEnd w:id="12"/>
      <w:r w:rsidRPr="00AC448C">
        <w:rPr>
          <w:rFonts w:ascii="Times New Roman" w:eastAsia="Times New Roman" w:hAnsi="Times New Roman" w:cs="Times New Roman"/>
          <w:color w:val="000000"/>
          <w:sz w:val="24"/>
          <w:szCs w:val="24"/>
          <w:lang w:eastAsia="lt-LT"/>
        </w:rPr>
        <w:t>11) kitų prekių ir (ar) paslaugų, kai ilgesnis kaip 3 metų prekių tiekimo ir (ar) paslaugų teikimo laikotarpis ekonominiu ar socialiniu požiūriu yra naudingesnis ir perkančioji organizacija tai pagrindžia.</w:t>
      </w:r>
    </w:p>
    <w:p w:rsidR="00AC448C" w:rsidRDefault="00AC448C">
      <w:bookmarkStart w:id="13" w:name="part_11b1b26d64ca440e8e2c22b78935df80"/>
      <w:bookmarkEnd w:id="13"/>
    </w:p>
    <w:sectPr w:rsidR="00AC448C" w:rsidSect="00AC448C">
      <w:pgSz w:w="11906" w:h="16838"/>
      <w:pgMar w:top="1440" w:right="746"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48C"/>
    <w:rsid w:val="00407318"/>
    <w:rsid w:val="00840F10"/>
    <w:rsid w:val="00960464"/>
    <w:rsid w:val="00AC448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44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4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44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4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2568866">
      <w:bodyDiv w:val="1"/>
      <w:marLeft w:val="0"/>
      <w:marRight w:val="0"/>
      <w:marTop w:val="0"/>
      <w:marBottom w:val="0"/>
      <w:divBdr>
        <w:top w:val="none" w:sz="0" w:space="0" w:color="auto"/>
        <w:left w:val="none" w:sz="0" w:space="0" w:color="auto"/>
        <w:bottom w:val="none" w:sz="0" w:space="0" w:color="auto"/>
        <w:right w:val="none" w:sz="0" w:space="0" w:color="auto"/>
      </w:divBdr>
    </w:div>
    <w:div w:id="1377311938">
      <w:bodyDiv w:val="1"/>
      <w:marLeft w:val="0"/>
      <w:marRight w:val="0"/>
      <w:marTop w:val="0"/>
      <w:marBottom w:val="0"/>
      <w:divBdr>
        <w:top w:val="none" w:sz="0" w:space="0" w:color="auto"/>
        <w:left w:val="none" w:sz="0" w:space="0" w:color="auto"/>
        <w:bottom w:val="none" w:sz="0" w:space="0" w:color="auto"/>
        <w:right w:val="none" w:sz="0" w:space="0" w:color="auto"/>
      </w:divBdr>
      <w:divsChild>
        <w:div w:id="1542864633">
          <w:marLeft w:val="0"/>
          <w:marRight w:val="0"/>
          <w:marTop w:val="0"/>
          <w:marBottom w:val="0"/>
          <w:divBdr>
            <w:top w:val="none" w:sz="0" w:space="0" w:color="auto"/>
            <w:left w:val="none" w:sz="0" w:space="0" w:color="auto"/>
            <w:bottom w:val="none" w:sz="0" w:space="0" w:color="auto"/>
            <w:right w:val="none" w:sz="0" w:space="0" w:color="auto"/>
          </w:divBdr>
        </w:div>
        <w:div w:id="1660646702">
          <w:marLeft w:val="0"/>
          <w:marRight w:val="0"/>
          <w:marTop w:val="0"/>
          <w:marBottom w:val="0"/>
          <w:divBdr>
            <w:top w:val="none" w:sz="0" w:space="0" w:color="auto"/>
            <w:left w:val="none" w:sz="0" w:space="0" w:color="auto"/>
            <w:bottom w:val="none" w:sz="0" w:space="0" w:color="auto"/>
            <w:right w:val="none" w:sz="0" w:space="0" w:color="auto"/>
          </w:divBdr>
        </w:div>
        <w:div w:id="265160460">
          <w:marLeft w:val="0"/>
          <w:marRight w:val="0"/>
          <w:marTop w:val="0"/>
          <w:marBottom w:val="0"/>
          <w:divBdr>
            <w:top w:val="none" w:sz="0" w:space="0" w:color="auto"/>
            <w:left w:val="none" w:sz="0" w:space="0" w:color="auto"/>
            <w:bottom w:val="none" w:sz="0" w:space="0" w:color="auto"/>
            <w:right w:val="none" w:sz="0" w:space="0" w:color="auto"/>
          </w:divBdr>
        </w:div>
        <w:div w:id="1760444244">
          <w:marLeft w:val="0"/>
          <w:marRight w:val="0"/>
          <w:marTop w:val="0"/>
          <w:marBottom w:val="0"/>
          <w:divBdr>
            <w:top w:val="none" w:sz="0" w:space="0" w:color="auto"/>
            <w:left w:val="none" w:sz="0" w:space="0" w:color="auto"/>
            <w:bottom w:val="none" w:sz="0" w:space="0" w:color="auto"/>
            <w:right w:val="none" w:sz="0" w:space="0" w:color="auto"/>
          </w:divBdr>
        </w:div>
        <w:div w:id="123695756">
          <w:marLeft w:val="0"/>
          <w:marRight w:val="0"/>
          <w:marTop w:val="0"/>
          <w:marBottom w:val="0"/>
          <w:divBdr>
            <w:top w:val="none" w:sz="0" w:space="0" w:color="auto"/>
            <w:left w:val="none" w:sz="0" w:space="0" w:color="auto"/>
            <w:bottom w:val="none" w:sz="0" w:space="0" w:color="auto"/>
            <w:right w:val="none" w:sz="0" w:space="0" w:color="auto"/>
          </w:divBdr>
          <w:divsChild>
            <w:div w:id="497693762">
              <w:marLeft w:val="0"/>
              <w:marRight w:val="0"/>
              <w:marTop w:val="0"/>
              <w:marBottom w:val="0"/>
              <w:divBdr>
                <w:top w:val="none" w:sz="0" w:space="0" w:color="auto"/>
                <w:left w:val="none" w:sz="0" w:space="0" w:color="auto"/>
                <w:bottom w:val="none" w:sz="0" w:space="0" w:color="auto"/>
                <w:right w:val="none" w:sz="0" w:space="0" w:color="auto"/>
              </w:divBdr>
            </w:div>
            <w:div w:id="1908954767">
              <w:marLeft w:val="0"/>
              <w:marRight w:val="0"/>
              <w:marTop w:val="0"/>
              <w:marBottom w:val="0"/>
              <w:divBdr>
                <w:top w:val="none" w:sz="0" w:space="0" w:color="auto"/>
                <w:left w:val="none" w:sz="0" w:space="0" w:color="auto"/>
                <w:bottom w:val="none" w:sz="0" w:space="0" w:color="auto"/>
                <w:right w:val="none" w:sz="0" w:space="0" w:color="auto"/>
              </w:divBdr>
            </w:div>
            <w:div w:id="1500533775">
              <w:marLeft w:val="0"/>
              <w:marRight w:val="0"/>
              <w:marTop w:val="0"/>
              <w:marBottom w:val="0"/>
              <w:divBdr>
                <w:top w:val="none" w:sz="0" w:space="0" w:color="auto"/>
                <w:left w:val="none" w:sz="0" w:space="0" w:color="auto"/>
                <w:bottom w:val="none" w:sz="0" w:space="0" w:color="auto"/>
                <w:right w:val="none" w:sz="0" w:space="0" w:color="auto"/>
              </w:divBdr>
            </w:div>
            <w:div w:id="1383212878">
              <w:marLeft w:val="0"/>
              <w:marRight w:val="0"/>
              <w:marTop w:val="0"/>
              <w:marBottom w:val="0"/>
              <w:divBdr>
                <w:top w:val="none" w:sz="0" w:space="0" w:color="auto"/>
                <w:left w:val="none" w:sz="0" w:space="0" w:color="auto"/>
                <w:bottom w:val="none" w:sz="0" w:space="0" w:color="auto"/>
                <w:right w:val="none" w:sz="0" w:space="0" w:color="auto"/>
              </w:divBdr>
            </w:div>
            <w:div w:id="1836190281">
              <w:marLeft w:val="0"/>
              <w:marRight w:val="0"/>
              <w:marTop w:val="0"/>
              <w:marBottom w:val="0"/>
              <w:divBdr>
                <w:top w:val="none" w:sz="0" w:space="0" w:color="auto"/>
                <w:left w:val="none" w:sz="0" w:space="0" w:color="auto"/>
                <w:bottom w:val="none" w:sz="0" w:space="0" w:color="auto"/>
                <w:right w:val="none" w:sz="0" w:space="0" w:color="auto"/>
              </w:divBdr>
            </w:div>
            <w:div w:id="764419662">
              <w:marLeft w:val="0"/>
              <w:marRight w:val="0"/>
              <w:marTop w:val="0"/>
              <w:marBottom w:val="0"/>
              <w:divBdr>
                <w:top w:val="none" w:sz="0" w:space="0" w:color="auto"/>
                <w:left w:val="none" w:sz="0" w:space="0" w:color="auto"/>
                <w:bottom w:val="none" w:sz="0" w:space="0" w:color="auto"/>
                <w:right w:val="none" w:sz="0" w:space="0" w:color="auto"/>
              </w:divBdr>
            </w:div>
            <w:div w:id="395935674">
              <w:marLeft w:val="0"/>
              <w:marRight w:val="0"/>
              <w:marTop w:val="0"/>
              <w:marBottom w:val="0"/>
              <w:divBdr>
                <w:top w:val="none" w:sz="0" w:space="0" w:color="auto"/>
                <w:left w:val="none" w:sz="0" w:space="0" w:color="auto"/>
                <w:bottom w:val="none" w:sz="0" w:space="0" w:color="auto"/>
                <w:right w:val="none" w:sz="0" w:space="0" w:color="auto"/>
              </w:divBdr>
            </w:div>
            <w:div w:id="735014620">
              <w:marLeft w:val="0"/>
              <w:marRight w:val="0"/>
              <w:marTop w:val="0"/>
              <w:marBottom w:val="0"/>
              <w:divBdr>
                <w:top w:val="none" w:sz="0" w:space="0" w:color="auto"/>
                <w:left w:val="none" w:sz="0" w:space="0" w:color="auto"/>
                <w:bottom w:val="none" w:sz="0" w:space="0" w:color="auto"/>
                <w:right w:val="none" w:sz="0" w:space="0" w:color="auto"/>
              </w:divBdr>
            </w:div>
            <w:div w:id="411897937">
              <w:marLeft w:val="0"/>
              <w:marRight w:val="0"/>
              <w:marTop w:val="0"/>
              <w:marBottom w:val="0"/>
              <w:divBdr>
                <w:top w:val="none" w:sz="0" w:space="0" w:color="auto"/>
                <w:left w:val="none" w:sz="0" w:space="0" w:color="auto"/>
                <w:bottom w:val="none" w:sz="0" w:space="0" w:color="auto"/>
                <w:right w:val="none" w:sz="0" w:space="0" w:color="auto"/>
              </w:divBdr>
            </w:div>
            <w:div w:id="215092419">
              <w:marLeft w:val="0"/>
              <w:marRight w:val="0"/>
              <w:marTop w:val="0"/>
              <w:marBottom w:val="0"/>
              <w:divBdr>
                <w:top w:val="none" w:sz="0" w:space="0" w:color="auto"/>
                <w:left w:val="none" w:sz="0" w:space="0" w:color="auto"/>
                <w:bottom w:val="none" w:sz="0" w:space="0" w:color="auto"/>
                <w:right w:val="none" w:sz="0" w:space="0" w:color="auto"/>
              </w:divBdr>
            </w:div>
            <w:div w:id="633678197">
              <w:marLeft w:val="0"/>
              <w:marRight w:val="0"/>
              <w:marTop w:val="0"/>
              <w:marBottom w:val="0"/>
              <w:divBdr>
                <w:top w:val="none" w:sz="0" w:space="0" w:color="auto"/>
                <w:left w:val="none" w:sz="0" w:space="0" w:color="auto"/>
                <w:bottom w:val="none" w:sz="0" w:space="0" w:color="auto"/>
                <w:right w:val="none" w:sz="0" w:space="0" w:color="auto"/>
              </w:divBdr>
            </w:div>
          </w:divsChild>
        </w:div>
        <w:div w:id="2142914496">
          <w:marLeft w:val="0"/>
          <w:marRight w:val="0"/>
          <w:marTop w:val="0"/>
          <w:marBottom w:val="0"/>
          <w:divBdr>
            <w:top w:val="none" w:sz="0" w:space="0" w:color="auto"/>
            <w:left w:val="none" w:sz="0" w:space="0" w:color="auto"/>
            <w:bottom w:val="none" w:sz="0" w:space="0" w:color="auto"/>
            <w:right w:val="none" w:sz="0" w:space="0" w:color="auto"/>
          </w:divBdr>
        </w:div>
        <w:div w:id="550927519">
          <w:marLeft w:val="0"/>
          <w:marRight w:val="0"/>
          <w:marTop w:val="0"/>
          <w:marBottom w:val="0"/>
          <w:divBdr>
            <w:top w:val="none" w:sz="0" w:space="0" w:color="auto"/>
            <w:left w:val="none" w:sz="0" w:space="0" w:color="auto"/>
            <w:bottom w:val="none" w:sz="0" w:space="0" w:color="auto"/>
            <w:right w:val="none" w:sz="0" w:space="0" w:color="auto"/>
          </w:divBdr>
        </w:div>
        <w:div w:id="2124568714">
          <w:marLeft w:val="0"/>
          <w:marRight w:val="0"/>
          <w:marTop w:val="0"/>
          <w:marBottom w:val="0"/>
          <w:divBdr>
            <w:top w:val="none" w:sz="0" w:space="0" w:color="auto"/>
            <w:left w:val="none" w:sz="0" w:space="0" w:color="auto"/>
            <w:bottom w:val="none" w:sz="0" w:space="0" w:color="auto"/>
            <w:right w:val="none" w:sz="0" w:space="0" w:color="auto"/>
          </w:divBdr>
          <w:divsChild>
            <w:div w:id="447041381">
              <w:marLeft w:val="0"/>
              <w:marRight w:val="0"/>
              <w:marTop w:val="0"/>
              <w:marBottom w:val="0"/>
              <w:divBdr>
                <w:top w:val="none" w:sz="0" w:space="0" w:color="auto"/>
                <w:left w:val="none" w:sz="0" w:space="0" w:color="auto"/>
                <w:bottom w:val="none" w:sz="0" w:space="0" w:color="auto"/>
                <w:right w:val="none" w:sz="0" w:space="0" w:color="auto"/>
              </w:divBdr>
            </w:div>
            <w:div w:id="2116242344">
              <w:marLeft w:val="0"/>
              <w:marRight w:val="0"/>
              <w:marTop w:val="0"/>
              <w:marBottom w:val="0"/>
              <w:divBdr>
                <w:top w:val="none" w:sz="0" w:space="0" w:color="auto"/>
                <w:left w:val="none" w:sz="0" w:space="0" w:color="auto"/>
                <w:bottom w:val="none" w:sz="0" w:space="0" w:color="auto"/>
                <w:right w:val="none" w:sz="0" w:space="0" w:color="auto"/>
              </w:divBdr>
            </w:div>
            <w:div w:id="488984475">
              <w:marLeft w:val="0"/>
              <w:marRight w:val="0"/>
              <w:marTop w:val="0"/>
              <w:marBottom w:val="0"/>
              <w:divBdr>
                <w:top w:val="none" w:sz="0" w:space="0" w:color="auto"/>
                <w:left w:val="none" w:sz="0" w:space="0" w:color="auto"/>
                <w:bottom w:val="none" w:sz="0" w:space="0" w:color="auto"/>
                <w:right w:val="none" w:sz="0" w:space="0" w:color="auto"/>
              </w:divBdr>
            </w:div>
          </w:divsChild>
        </w:div>
        <w:div w:id="10311478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1386</Words>
  <Characters>791</Characters>
  <Application>Microsoft Office Word</Application>
  <DocSecurity>0</DocSecurity>
  <Lines>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Jankuniene</dc:creator>
  <cp:keywords/>
  <dc:description/>
  <cp:lastModifiedBy/>
  <cp:revision>1</cp:revision>
  <dcterms:created xsi:type="dcterms:W3CDTF">2018-10-09T11:13:00Z</dcterms:created>
</cp:coreProperties>
</file>